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right"/>
        <w:rPr>
          <w:rFonts w:ascii="Arial" w:cs="Arial" w:hAnsi="Arial" w:eastAsia="Arial"/>
          <w:b w:val="1"/>
          <w:bCs w:val="1"/>
          <w:i w:val="1"/>
          <w:iCs w:val="1"/>
          <w:sz w:val="20"/>
          <w:szCs w:val="20"/>
          <w:u w:val="single"/>
        </w:rPr>
      </w:pPr>
      <w:r>
        <w:rPr>
          <w:rFonts w:ascii="Arial" w:hAnsi="Arial" w:hint="default"/>
          <w:b w:val="1"/>
          <w:bCs w:val="1"/>
          <w:i w:val="1"/>
          <w:iCs w:val="1"/>
          <w:sz w:val="20"/>
          <w:szCs w:val="20"/>
          <w:u w:val="single"/>
          <w:rtl w:val="0"/>
          <w:lang w:val="ru-RU"/>
        </w:rPr>
        <w:t xml:space="preserve">Приложение № </w:t>
      </w:r>
      <w:r>
        <w:rPr>
          <w:rFonts w:ascii="Arial" w:hAnsi="Arial"/>
          <w:b w:val="1"/>
          <w:bCs w:val="1"/>
          <w:i w:val="1"/>
          <w:iCs w:val="1"/>
          <w:sz w:val="20"/>
          <w:szCs w:val="20"/>
          <w:u w:val="single"/>
          <w:rtl w:val="0"/>
          <w:lang w:val="ru-RU"/>
        </w:rPr>
        <w:t xml:space="preserve">2 </w:t>
      </w:r>
      <w:r>
        <w:rPr>
          <w:rFonts w:ascii="Arial" w:hAnsi="Arial" w:hint="default"/>
          <w:b w:val="1"/>
          <w:bCs w:val="1"/>
          <w:i w:val="1"/>
          <w:iCs w:val="1"/>
          <w:sz w:val="20"/>
          <w:szCs w:val="20"/>
          <w:u w:val="single"/>
          <w:rtl w:val="0"/>
          <w:lang w:val="ru-RU"/>
        </w:rPr>
        <w:t xml:space="preserve">к заявке </w:t>
      </w:r>
    </w:p>
    <w:p>
      <w:pPr>
        <w:pStyle w:val="Normal.0"/>
        <w:spacing w:after="0" w:line="240" w:lineRule="auto"/>
        <w:jc w:val="right"/>
        <w:rPr>
          <w:rFonts w:ascii="Arial" w:cs="Arial" w:hAnsi="Arial" w:eastAsia="Arial"/>
          <w:b w:val="1"/>
          <w:bCs w:val="1"/>
          <w:i w:val="1"/>
          <w:iCs w:val="1"/>
          <w:sz w:val="20"/>
          <w:szCs w:val="20"/>
          <w:u w:val="single"/>
        </w:rPr>
      </w:pPr>
    </w:p>
    <w:p>
      <w:pPr>
        <w:pStyle w:val="Normal.0"/>
        <w:spacing w:after="0" w:line="240" w:lineRule="auto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 xml:space="preserve">Обоснование начальной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максимальной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цены</w:t>
      </w:r>
      <w:r>
        <w:rPr>
          <w:rFonts w:ascii="Times New Roman" w:hAnsi="Times New Roman" w:hint="default"/>
          <w:rtl w:val="0"/>
          <w:lang w:val="ru-RU"/>
        </w:rPr>
        <w:t xml:space="preserve"> договора на поставку стульев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ind w:firstLine="709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Расчет произведен на основании метода сопоставимых рыночных цен с использованием общедоступной ценовой информации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Цена Договора включает приобретение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доставку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разгрузку необходимых средств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материалов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оборудования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также уплату налогов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сборов и других обязательных платежей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т</w:t>
      </w:r>
      <w:r>
        <w:rPr>
          <w:rFonts w:ascii="Times New Roman" w:hAnsi="Times New Roman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>ч</w:t>
      </w:r>
      <w:r>
        <w:rPr>
          <w:rFonts w:ascii="Times New Roman" w:hAnsi="Times New Roman"/>
          <w:rtl w:val="0"/>
          <w:lang w:val="ru-RU"/>
        </w:rPr>
        <w:t xml:space="preserve">., </w:t>
      </w:r>
      <w:r>
        <w:rPr>
          <w:rFonts w:ascii="Times New Roman" w:hAnsi="Times New Roman" w:hint="default"/>
          <w:rtl w:val="0"/>
          <w:lang w:val="ru-RU"/>
        </w:rPr>
        <w:t>возникающих в процессе оказания услуг и сдачи их Заказчику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иные затраты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напрямую или косвенно связанные с оказанием услуг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</w:rPr>
      </w:pPr>
    </w:p>
    <w:tbl>
      <w:tblPr>
        <w:tblW w:w="1592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731"/>
        <w:gridCol w:w="4200"/>
        <w:gridCol w:w="1125"/>
        <w:gridCol w:w="985"/>
        <w:gridCol w:w="2255"/>
        <w:gridCol w:w="2256"/>
        <w:gridCol w:w="2114"/>
        <w:gridCol w:w="2255"/>
      </w:tblGrid>
      <w:tr>
        <w:tblPrEx>
          <w:shd w:val="clear" w:color="auto" w:fill="d0ddef"/>
        </w:tblPrEx>
        <w:trPr>
          <w:trHeight w:val="961" w:hRule="atLeast"/>
        </w:trPr>
        <w:tc>
          <w:tcPr>
            <w:tcW w:type="dxa" w:w="7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№ п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4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Наименование товара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услуг</w:t>
            </w:r>
          </w:p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Ед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изм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Кол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Коммерческое предложение №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1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руб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Коммерческое предложение №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2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руб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1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Коммерческое предложение №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3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руб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Начальная 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максимальная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цена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, 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руб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widowControl w:val="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d0ddef"/>
        </w:tblPrEx>
        <w:trPr>
          <w:trHeight w:val="499" w:hRule="atLeast"/>
        </w:trPr>
        <w:tc>
          <w:tcPr>
            <w:tcW w:type="dxa" w:w="7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200" w:line="276" w:lineRule="auto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4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Стул на раме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SAMBA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 (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BOX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-4) 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RUV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-4 1.031</w:t>
            </w:r>
          </w:p>
        </w:tc>
        <w:tc>
          <w:tcPr>
            <w:tcW w:type="dxa" w:w="1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200" w:line="276" w:lineRule="auto"/>
              <w:jc w:val="center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43" w:lineRule="exact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30</w:t>
            </w:r>
          </w:p>
        </w:tc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150000,00</w:t>
            </w:r>
          </w:p>
        </w:tc>
        <w:tc>
          <w:tcPr>
            <w:tcW w:type="dxa" w:w="2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20" w:lineRule="exact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146 700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,00</w:t>
            </w:r>
          </w:p>
        </w:tc>
        <w:tc>
          <w:tcPr>
            <w:tcW w:type="dxa" w:w="21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153 000,00</w:t>
            </w:r>
          </w:p>
        </w:tc>
        <w:tc>
          <w:tcPr>
            <w:tcW w:type="dxa" w:w="2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146 700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,00</w:t>
            </w:r>
          </w:p>
        </w:tc>
      </w:tr>
      <w:tr>
        <w:tblPrEx>
          <w:shd w:val="clear" w:color="auto" w:fill="d0ddef"/>
        </w:tblPrEx>
        <w:trPr>
          <w:trHeight w:val="252" w:hRule="atLeast"/>
        </w:trPr>
        <w:tc>
          <w:tcPr>
            <w:tcW w:type="dxa" w:w="70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47" w:after="0" w:line="243" w:lineRule="exact"/>
              <w:jc w:val="right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22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47" w:after="0" w:line="243" w:lineRule="exact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150 000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,00</w:t>
            </w:r>
          </w:p>
        </w:tc>
        <w:tc>
          <w:tcPr>
            <w:tcW w:type="dxa" w:w="22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20" w:lineRule="exact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146 700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,00</w:t>
            </w:r>
          </w:p>
        </w:tc>
        <w:tc>
          <w:tcPr>
            <w:tcW w:type="dxa" w:w="21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153 000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,00</w:t>
            </w:r>
          </w:p>
        </w:tc>
        <w:tc>
          <w:tcPr>
            <w:tcW w:type="dxa" w:w="2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146 700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>,00</w:t>
            </w:r>
          </w:p>
        </w:tc>
      </w:tr>
    </w:tbl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 xml:space="preserve">Начальная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максимальная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 xml:space="preserve">цена </w:t>
      </w:r>
      <w:r>
        <w:rPr>
          <w:rFonts w:ascii="Times New Roman" w:hAnsi="Times New Roman" w:hint="default"/>
          <w:rtl w:val="0"/>
          <w:lang w:val="ru-RU"/>
        </w:rPr>
        <w:t>договора</w:t>
      </w:r>
      <w:r>
        <w:rPr>
          <w:rFonts w:ascii="Times New Roman" w:hAnsi="Times New Roman" w:hint="default"/>
          <w:rtl w:val="0"/>
          <w:lang w:val="ru-RU"/>
        </w:rPr>
        <w:t xml:space="preserve"> определена методом сопоставимых рыночных цен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анализ рынка</w:t>
      </w:r>
      <w:r>
        <w:rPr>
          <w:rFonts w:ascii="Times New Roman" w:hAnsi="Times New Roman"/>
          <w:rtl w:val="0"/>
          <w:lang w:val="ru-RU"/>
        </w:rPr>
        <w:t xml:space="preserve">). </w:t>
      </w:r>
      <w:r>
        <w:rPr>
          <w:rFonts w:ascii="Times New Roman" w:hAnsi="Times New Roman" w:hint="default"/>
          <w:rtl w:val="0"/>
          <w:lang w:val="ru-RU"/>
        </w:rPr>
        <w:t xml:space="preserve">В целях соблюдения принципов эффективности закупок и статьи </w:t>
      </w:r>
      <w:r>
        <w:rPr>
          <w:rFonts w:ascii="Times New Roman" w:hAnsi="Times New Roman"/>
          <w:rtl w:val="0"/>
          <w:lang w:val="ru-RU"/>
        </w:rPr>
        <w:t xml:space="preserve">34 </w:t>
      </w:r>
      <w:r>
        <w:rPr>
          <w:rFonts w:ascii="Times New Roman" w:hAnsi="Times New Roman" w:hint="default"/>
          <w:rtl w:val="0"/>
          <w:lang w:val="ru-RU"/>
        </w:rPr>
        <w:t>Бюджетного кодекса Российской Федерации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а также на основании письма Минфина России от </w:t>
      </w:r>
      <w:r>
        <w:rPr>
          <w:rFonts w:ascii="Times New Roman" w:hAnsi="Times New Roman"/>
          <w:rtl w:val="0"/>
          <w:lang w:val="ru-RU"/>
        </w:rPr>
        <w:t xml:space="preserve">16 </w:t>
      </w:r>
      <w:r>
        <w:rPr>
          <w:rFonts w:ascii="Times New Roman" w:hAnsi="Times New Roman" w:hint="default"/>
          <w:rtl w:val="0"/>
          <w:lang w:val="ru-RU"/>
        </w:rPr>
        <w:t xml:space="preserve">июля </w:t>
      </w:r>
      <w:r>
        <w:rPr>
          <w:rFonts w:ascii="Times New Roman" w:hAnsi="Times New Roman"/>
          <w:rtl w:val="0"/>
          <w:lang w:val="ru-RU"/>
        </w:rPr>
        <w:t xml:space="preserve">2017 </w:t>
      </w:r>
      <w:r>
        <w:rPr>
          <w:rFonts w:ascii="Times New Roman" w:hAnsi="Times New Roman" w:hint="default"/>
          <w:rtl w:val="0"/>
          <w:lang w:val="ru-RU"/>
        </w:rPr>
        <w:t>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№</w:t>
      </w:r>
      <w:r>
        <w:rPr>
          <w:rFonts w:ascii="Times New Roman" w:hAnsi="Times New Roman"/>
          <w:rtl w:val="0"/>
          <w:lang w:val="ru-RU"/>
        </w:rPr>
        <w:t xml:space="preserve">24-01-10/37713 </w:t>
      </w:r>
      <w:r>
        <w:rPr>
          <w:rFonts w:ascii="Times New Roman" w:hAnsi="Times New Roman" w:hint="default"/>
          <w:rtl w:val="0"/>
          <w:lang w:val="ru-RU"/>
        </w:rPr>
        <w:t>при расчете НМЦК Заказчиком использовалась минимальная цена из поступивших коммерческих предложений и закупка осуществляется по наименьшей цене договора</w:t>
      </w:r>
      <w:r>
        <w:rPr>
          <w:rFonts w:ascii="Times New Roman" w:hAnsi="Times New Roman"/>
          <w:rtl w:val="0"/>
          <w:lang w:val="ru-RU"/>
        </w:rPr>
        <w:t xml:space="preserve">.    </w:t>
      </w:r>
      <w:r>
        <w:rPr>
          <w:rFonts w:ascii="Times New Roman" w:hAnsi="Times New Roman" w:hint="default"/>
          <w:rtl w:val="0"/>
          <w:lang w:val="ru-RU"/>
        </w:rPr>
        <w:t>Заказчик не указывает сведения о потенциальных поставщиках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сделавших коммерческое предложение во избежание нарушения статьи </w:t>
      </w:r>
      <w:r>
        <w:rPr>
          <w:rFonts w:ascii="Times New Roman" w:hAnsi="Times New Roman"/>
          <w:rtl w:val="0"/>
          <w:lang w:val="ru-RU"/>
        </w:rPr>
        <w:t xml:space="preserve">11 </w:t>
      </w:r>
      <w:r>
        <w:rPr>
          <w:rFonts w:ascii="Times New Roman" w:hAnsi="Times New Roman" w:hint="default"/>
          <w:rtl w:val="0"/>
          <w:lang w:val="ru-RU"/>
        </w:rPr>
        <w:t xml:space="preserve">Федерального закона от </w:t>
      </w:r>
      <w:r>
        <w:rPr>
          <w:rFonts w:ascii="Times New Roman" w:hAnsi="Times New Roman"/>
          <w:rtl w:val="0"/>
          <w:lang w:val="ru-RU"/>
        </w:rPr>
        <w:t xml:space="preserve">26.07.2006. </w:t>
      </w:r>
      <w:r>
        <w:rPr>
          <w:rFonts w:ascii="Times New Roman" w:hAnsi="Times New Roman" w:hint="default"/>
          <w:rtl w:val="0"/>
          <w:lang w:val="ru-RU"/>
        </w:rPr>
        <w:t xml:space="preserve">№ </w:t>
      </w:r>
      <w:r>
        <w:rPr>
          <w:rFonts w:ascii="Times New Roman" w:hAnsi="Times New Roman"/>
          <w:rtl w:val="0"/>
          <w:lang w:val="ru-RU"/>
        </w:rPr>
        <w:t>135-</w:t>
      </w:r>
      <w:r>
        <w:rPr>
          <w:rFonts w:ascii="Times New Roman" w:hAnsi="Times New Roman" w:hint="default"/>
          <w:rtl w:val="0"/>
          <w:lang w:val="ru-RU"/>
        </w:rPr>
        <w:t xml:space="preserve">ФЗ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ред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от </w:t>
      </w:r>
      <w:r>
        <w:rPr>
          <w:rFonts w:ascii="Times New Roman" w:hAnsi="Times New Roman"/>
          <w:rtl w:val="0"/>
          <w:lang w:val="ru-RU"/>
        </w:rPr>
        <w:t xml:space="preserve">01.03.2011) </w:t>
      </w:r>
      <w:r>
        <w:rPr>
          <w:rFonts w:ascii="Times New Roman" w:hAnsi="Times New Roman" w:hint="default"/>
          <w:rtl w:val="0"/>
          <w:lang w:val="ru-RU"/>
        </w:rPr>
        <w:t>«О защите конкуренции» и сговора участников размещения заказа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Коммерческие предложения хранятся у Заказчика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Специалист в сфере закупок</w:t>
        <w:tab/>
        <w:tab/>
        <w:tab/>
        <w:tab/>
        <w:tab/>
        <w:tab/>
        <w:tab/>
        <w:tab/>
        <w:tab/>
        <w:tab/>
        <w:tab/>
        <w:tab/>
        <w:t>А</w:t>
      </w:r>
      <w:r>
        <w:rPr>
          <w:rFonts w:ascii="Times New Roman" w:hAnsi="Times New Roman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>В</w:t>
      </w:r>
      <w:r>
        <w:rPr>
          <w:rFonts w:ascii="Times New Roman" w:hAnsi="Times New Roman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>Павлова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ind w:firstLine="708"/>
        <w:jc w:val="both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6840" w:h="11900" w:orient="landscape"/>
      <w:pgMar w:top="567" w:right="567" w:bottom="567" w:left="567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